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6345" w14:textId="77777777" w:rsidR="00E024E9" w:rsidRPr="009730F6" w:rsidRDefault="00000000">
      <w:pPr>
        <w:pStyle w:val="Nagwek1"/>
        <w:rPr>
          <w:lang w:val="pl-PL"/>
        </w:rPr>
      </w:pPr>
      <w:r w:rsidRPr="009730F6">
        <w:rPr>
          <w:lang w:val="pl-PL"/>
        </w:rPr>
        <w:t>UMOWA O ZACHOWANIU POUFNOŚCI (NDA)</w:t>
      </w:r>
    </w:p>
    <w:p w14:paraId="7DB70A75" w14:textId="77777777" w:rsidR="00E024E9" w:rsidRPr="009730F6" w:rsidRDefault="00000000">
      <w:pPr>
        <w:spacing w:after="240"/>
        <w:jc w:val="center"/>
        <w:rPr>
          <w:lang w:val="pl-PL"/>
        </w:rPr>
      </w:pPr>
      <w:r w:rsidRPr="009730F6">
        <w:rPr>
          <w:i/>
          <w:iCs/>
          <w:color w:val="555555"/>
          <w:sz w:val="20"/>
          <w:szCs w:val="20"/>
          <w:lang w:val="pl-PL"/>
        </w:rPr>
        <w:t>umowa wzajemna (dwustronna)</w:t>
      </w:r>
    </w:p>
    <w:p w14:paraId="721913C7" w14:textId="77777777" w:rsidR="00E024E9" w:rsidRPr="009730F6" w:rsidRDefault="00000000">
      <w:pPr>
        <w:spacing w:after="120" w:line="276" w:lineRule="auto"/>
        <w:jc w:val="both"/>
        <w:rPr>
          <w:lang w:val="pl-PL"/>
        </w:rPr>
      </w:pPr>
      <w:r w:rsidRPr="009730F6">
        <w:rPr>
          <w:lang w:val="pl-PL"/>
        </w:rPr>
        <w:t xml:space="preserve">zawarta w dniu </w:t>
      </w:r>
      <w:r w:rsidRPr="009730F6">
        <w:rPr>
          <w:b/>
          <w:bCs/>
          <w:lang w:val="pl-PL"/>
        </w:rPr>
        <w:t>……………………………………</w:t>
      </w:r>
      <w:r w:rsidRPr="009730F6">
        <w:rPr>
          <w:lang w:val="pl-PL"/>
        </w:rPr>
        <w:t xml:space="preserve"> w </w:t>
      </w:r>
      <w:r w:rsidRPr="009730F6">
        <w:rPr>
          <w:b/>
          <w:bCs/>
          <w:lang w:val="pl-PL"/>
        </w:rPr>
        <w:t>………………………</w:t>
      </w:r>
      <w:r w:rsidRPr="009730F6">
        <w:rPr>
          <w:lang w:val="pl-PL"/>
        </w:rPr>
        <w:t xml:space="preserve"> (dalej: „Umowa”), pomiędzy:</w:t>
      </w:r>
    </w:p>
    <w:p w14:paraId="47189B13" w14:textId="77777777" w:rsidR="00E024E9" w:rsidRPr="009730F6" w:rsidRDefault="00000000">
      <w:pPr>
        <w:spacing w:after="120" w:line="276" w:lineRule="auto"/>
        <w:jc w:val="both"/>
        <w:rPr>
          <w:lang w:val="pl-PL"/>
        </w:rPr>
      </w:pPr>
      <w:r w:rsidRPr="009730F6">
        <w:rPr>
          <w:b/>
          <w:bCs/>
          <w:lang w:val="pl-PL"/>
        </w:rPr>
        <w:t>1. Forta IT — Dawid Nikiel Automation</w:t>
      </w:r>
      <w:r w:rsidRPr="009730F6">
        <w:rPr>
          <w:lang w:val="pl-PL"/>
        </w:rPr>
        <w:t xml:space="preserve">, z siedzibą przy ul. Strzyżowskiej 15, 61-323 Poznań, NIP 8792555679, reprezentowaną przez Dawida </w:t>
      </w:r>
      <w:proofErr w:type="spellStart"/>
      <w:r w:rsidRPr="009730F6">
        <w:rPr>
          <w:lang w:val="pl-PL"/>
        </w:rPr>
        <w:t>Nikla</w:t>
      </w:r>
      <w:proofErr w:type="spellEnd"/>
      <w:r w:rsidRPr="009730F6">
        <w:rPr>
          <w:lang w:val="pl-PL"/>
        </w:rPr>
        <w:t>, zwaną dalej „</w:t>
      </w:r>
      <w:r w:rsidRPr="009730F6">
        <w:rPr>
          <w:b/>
          <w:bCs/>
          <w:lang w:val="pl-PL"/>
        </w:rPr>
        <w:t>Stroną Ujawniającą / Otrzymującą</w:t>
      </w:r>
      <w:r w:rsidRPr="009730F6">
        <w:rPr>
          <w:lang w:val="pl-PL"/>
        </w:rPr>
        <w:t>” lub „Forta IT”,</w:t>
      </w:r>
    </w:p>
    <w:p w14:paraId="16020365" w14:textId="77777777" w:rsidR="00E024E9" w:rsidRPr="009730F6" w:rsidRDefault="00000000">
      <w:pPr>
        <w:spacing w:after="120" w:line="276" w:lineRule="auto"/>
        <w:jc w:val="both"/>
        <w:rPr>
          <w:lang w:val="pl-PL"/>
        </w:rPr>
      </w:pPr>
      <w:r w:rsidRPr="009730F6">
        <w:rPr>
          <w:lang w:val="pl-PL"/>
        </w:rPr>
        <w:t>oraz</w:t>
      </w:r>
    </w:p>
    <w:p w14:paraId="6648E4D9" w14:textId="77777777" w:rsidR="00E024E9" w:rsidRPr="009730F6" w:rsidRDefault="00000000">
      <w:pPr>
        <w:spacing w:after="120" w:line="276" w:lineRule="auto"/>
        <w:jc w:val="both"/>
        <w:rPr>
          <w:lang w:val="pl-PL"/>
        </w:rPr>
      </w:pPr>
      <w:r w:rsidRPr="009730F6">
        <w:rPr>
          <w:b/>
          <w:bCs/>
          <w:lang w:val="pl-PL"/>
        </w:rPr>
        <w:t>2. …………………………………………………………………………</w:t>
      </w:r>
      <w:r w:rsidRPr="009730F6">
        <w:rPr>
          <w:lang w:val="pl-PL"/>
        </w:rPr>
        <w:t xml:space="preserve">, z siedzibą przy </w:t>
      </w:r>
      <w:r w:rsidRPr="009730F6">
        <w:rPr>
          <w:b/>
          <w:bCs/>
          <w:lang w:val="pl-PL"/>
        </w:rPr>
        <w:t>………………………………………………</w:t>
      </w:r>
      <w:r w:rsidRPr="009730F6">
        <w:rPr>
          <w:lang w:val="pl-PL"/>
        </w:rPr>
        <w:t xml:space="preserve">, NIP </w:t>
      </w:r>
      <w:r w:rsidRPr="009730F6">
        <w:rPr>
          <w:b/>
          <w:bCs/>
          <w:lang w:val="pl-PL"/>
        </w:rPr>
        <w:t>………………………</w:t>
      </w:r>
      <w:r w:rsidRPr="009730F6">
        <w:rPr>
          <w:lang w:val="pl-PL"/>
        </w:rPr>
        <w:t xml:space="preserve">, reprezentowaną przez </w:t>
      </w:r>
      <w:r w:rsidRPr="009730F6">
        <w:rPr>
          <w:b/>
          <w:bCs/>
          <w:lang w:val="pl-PL"/>
        </w:rPr>
        <w:t>………………………………</w:t>
      </w:r>
      <w:r w:rsidRPr="009730F6">
        <w:rPr>
          <w:lang w:val="pl-PL"/>
        </w:rPr>
        <w:t>, zwaną dalej „</w:t>
      </w:r>
      <w:r w:rsidRPr="009730F6">
        <w:rPr>
          <w:b/>
          <w:bCs/>
          <w:lang w:val="pl-PL"/>
        </w:rPr>
        <w:t>Kontrahentem</w:t>
      </w:r>
      <w:r w:rsidRPr="009730F6">
        <w:rPr>
          <w:lang w:val="pl-PL"/>
        </w:rPr>
        <w:t>”,</w:t>
      </w:r>
    </w:p>
    <w:p w14:paraId="15804AA7" w14:textId="77777777" w:rsidR="00E024E9" w:rsidRPr="009730F6" w:rsidRDefault="00000000">
      <w:pPr>
        <w:spacing w:after="120" w:line="276" w:lineRule="auto"/>
        <w:jc w:val="both"/>
        <w:rPr>
          <w:lang w:val="pl-PL"/>
        </w:rPr>
      </w:pPr>
      <w:r w:rsidRPr="009730F6">
        <w:rPr>
          <w:lang w:val="pl-PL"/>
        </w:rPr>
        <w:t>zwanymi dalej łącznie „</w:t>
      </w:r>
      <w:r w:rsidRPr="009730F6">
        <w:rPr>
          <w:b/>
          <w:bCs/>
          <w:lang w:val="pl-PL"/>
        </w:rPr>
        <w:t>Stronami</w:t>
      </w:r>
      <w:r w:rsidRPr="009730F6">
        <w:rPr>
          <w:lang w:val="pl-PL"/>
        </w:rPr>
        <w:t>”, a każda z osobna „</w:t>
      </w:r>
      <w:r w:rsidRPr="009730F6">
        <w:rPr>
          <w:b/>
          <w:bCs/>
          <w:lang w:val="pl-PL"/>
        </w:rPr>
        <w:t>Stroną</w:t>
      </w:r>
      <w:r w:rsidRPr="009730F6">
        <w:rPr>
          <w:lang w:val="pl-PL"/>
        </w:rPr>
        <w:t>”.</w:t>
      </w:r>
    </w:p>
    <w:p w14:paraId="75BC98C5" w14:textId="77777777" w:rsidR="00E024E9" w:rsidRPr="009730F6" w:rsidRDefault="00000000">
      <w:pPr>
        <w:spacing w:after="120" w:line="276" w:lineRule="auto"/>
        <w:jc w:val="both"/>
        <w:rPr>
          <w:lang w:val="pl-PL"/>
        </w:rPr>
      </w:pPr>
      <w:r w:rsidRPr="009730F6">
        <w:rPr>
          <w:lang w:val="pl-PL"/>
        </w:rPr>
        <w:t>Zważywszy, że Strony zamierzają podjąć rozmowy i współpracę w zakresie usług informatycznych, wdrożeń systemów IT/ERP, automatyki i sterowania (PLC) oraz projektów pokrewnych (dalej: „</w:t>
      </w:r>
      <w:r w:rsidRPr="009730F6">
        <w:rPr>
          <w:b/>
          <w:bCs/>
          <w:lang w:val="pl-PL"/>
        </w:rPr>
        <w:t>Cel</w:t>
      </w:r>
      <w:r w:rsidRPr="009730F6">
        <w:rPr>
          <w:lang w:val="pl-PL"/>
        </w:rPr>
        <w:t>”), w związku z czym może dojść do wzajemnego przekazania informacji poufnych, Strony postanawiają, co następuje:</w:t>
      </w:r>
    </w:p>
    <w:p w14:paraId="5F3DAEEE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1. Przedmiot i cel Umowy</w:t>
      </w:r>
    </w:p>
    <w:p w14:paraId="5C6CD9EB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Umowa ma charakter wzajemny — każda ze Stron może występować zarówno jako strona ujawniająca informacje poufne („Strona Ujawniająca”), jak i strona je otrzymująca („Strona Otrzymująca”).</w:t>
      </w:r>
    </w:p>
    <w:p w14:paraId="56F0F711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2. Celem Umowy jest ochrona informacji poufnych przekazywanych między Stronami w związku z Celem, w szczególności umożliwienie bezpiecznego przeprowadzenia konsultacji, audytu, wyceny oraz ewentualnej dalszej współpracy.</w:t>
      </w:r>
    </w:p>
    <w:p w14:paraId="75433A30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2. Informacje poufne</w:t>
      </w:r>
    </w:p>
    <w:p w14:paraId="2F1C3CAC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Przez „Informacje Poufne” Strony rozumieją wszelkie informacje, niezależnie od formy (ustnej, pisemnej, elektronicznej lub innej) i nośnika, przekazane bezpośrednio lub pośrednio przez jedną Stronę drugiej Stronie w związku z Celem, a w szczególności:</w:t>
      </w:r>
    </w:p>
    <w:p w14:paraId="6950686D" w14:textId="77777777" w:rsidR="00E024E9" w:rsidRPr="009730F6" w:rsidRDefault="00000000">
      <w:pPr>
        <w:pStyle w:val="Akapitzlist"/>
        <w:numPr>
          <w:ilvl w:val="0"/>
          <w:numId w:val="2"/>
        </w:numPr>
        <w:spacing w:after="60" w:line="276" w:lineRule="auto"/>
        <w:jc w:val="both"/>
        <w:rPr>
          <w:lang w:val="pl-PL"/>
        </w:rPr>
      </w:pPr>
      <w:r w:rsidRPr="009730F6">
        <w:rPr>
          <w:lang w:val="pl-PL"/>
        </w:rPr>
        <w:t>dane o infrastrukturze IT i OT, konfiguracji sieci, systemach, hasłach, dostępach i zabezpieczeniach;</w:t>
      </w:r>
    </w:p>
    <w:p w14:paraId="4CC3048C" w14:textId="77777777" w:rsidR="00E024E9" w:rsidRPr="009730F6" w:rsidRDefault="00000000">
      <w:pPr>
        <w:pStyle w:val="Akapitzlist"/>
        <w:numPr>
          <w:ilvl w:val="0"/>
          <w:numId w:val="2"/>
        </w:numPr>
        <w:spacing w:after="60" w:line="276" w:lineRule="auto"/>
        <w:jc w:val="both"/>
        <w:rPr>
          <w:lang w:val="pl-PL"/>
        </w:rPr>
      </w:pPr>
      <w:r w:rsidRPr="009730F6">
        <w:rPr>
          <w:lang w:val="pl-PL"/>
        </w:rPr>
        <w:t>kody źródłowe, dokumentację techniczną, schematy, programy sterowników PLC i rozwiązania automatyki;</w:t>
      </w:r>
    </w:p>
    <w:p w14:paraId="70925EBA" w14:textId="77777777" w:rsidR="00E024E9" w:rsidRPr="009730F6" w:rsidRDefault="00000000">
      <w:pPr>
        <w:pStyle w:val="Akapitzlist"/>
        <w:numPr>
          <w:ilvl w:val="0"/>
          <w:numId w:val="2"/>
        </w:numPr>
        <w:spacing w:after="60" w:line="276" w:lineRule="auto"/>
        <w:jc w:val="both"/>
        <w:rPr>
          <w:lang w:val="pl-PL"/>
        </w:rPr>
      </w:pPr>
      <w:r w:rsidRPr="009730F6">
        <w:rPr>
          <w:lang w:val="pl-PL"/>
        </w:rPr>
        <w:t>dane handlowe, finansowe, organizacyjne, bazy klientów i kontrahentów, cenniki, oferty i warunki współpracy;</w:t>
      </w:r>
    </w:p>
    <w:p w14:paraId="3A48E6AE" w14:textId="77777777" w:rsidR="00E024E9" w:rsidRPr="009730F6" w:rsidRDefault="00000000">
      <w:pPr>
        <w:pStyle w:val="Akapitzlist"/>
        <w:numPr>
          <w:ilvl w:val="0"/>
          <w:numId w:val="2"/>
        </w:numPr>
        <w:spacing w:after="60" w:line="276" w:lineRule="auto"/>
        <w:jc w:val="both"/>
        <w:rPr>
          <w:lang w:val="pl-PL"/>
        </w:rPr>
      </w:pPr>
      <w:r w:rsidRPr="009730F6">
        <w:rPr>
          <w:lang w:val="pl-PL"/>
        </w:rPr>
        <w:t>tajemnice przedsiębiorstwa w rozumieniu ustawy z dnia 16 kwietnia 1993 r. o zwalczaniu nieuczciwej konkurencji;</w:t>
      </w:r>
    </w:p>
    <w:p w14:paraId="19C66446" w14:textId="77777777" w:rsidR="00E024E9" w:rsidRPr="009730F6" w:rsidRDefault="00000000">
      <w:pPr>
        <w:pStyle w:val="Akapitzlist"/>
        <w:numPr>
          <w:ilvl w:val="0"/>
          <w:numId w:val="2"/>
        </w:numPr>
        <w:spacing w:after="60" w:line="276" w:lineRule="auto"/>
        <w:jc w:val="both"/>
        <w:rPr>
          <w:lang w:val="pl-PL"/>
        </w:rPr>
      </w:pPr>
      <w:r w:rsidRPr="009730F6">
        <w:rPr>
          <w:lang w:val="pl-PL"/>
        </w:rPr>
        <w:t>know-how, procesy, procedury oraz wszelkie inne informacje oznaczone jako poufne lub które ze względu na swój charakter za poufne powinny być uznane.</w:t>
      </w:r>
    </w:p>
    <w:p w14:paraId="6B019AB5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2. Za Informacje Poufne uznaje się również fakt prowadzenia rozmów oraz treść i warunki niniejszej Umowy.</w:t>
      </w:r>
    </w:p>
    <w:p w14:paraId="37990452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3. Wyłączenia</w:t>
      </w:r>
    </w:p>
    <w:p w14:paraId="14014ED8" w14:textId="77777777" w:rsid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lastRenderedPageBreak/>
        <w:t xml:space="preserve">1. Obowiązek zachowania poufności nie obejmuje informacji, które: </w:t>
      </w:r>
    </w:p>
    <w:p w14:paraId="07A44CBF" w14:textId="5072A779" w:rsidR="009730F6" w:rsidRPr="009730F6" w:rsidRDefault="00000000" w:rsidP="009730F6">
      <w:pPr>
        <w:pStyle w:val="Akapitzlist"/>
        <w:numPr>
          <w:ilvl w:val="0"/>
          <w:numId w:val="6"/>
        </w:numPr>
        <w:spacing w:after="100" w:line="276" w:lineRule="auto"/>
        <w:jc w:val="both"/>
        <w:rPr>
          <w:lang w:val="pl-PL"/>
        </w:rPr>
      </w:pPr>
      <w:r w:rsidRPr="009730F6">
        <w:rPr>
          <w:lang w:val="pl-PL"/>
        </w:rPr>
        <w:t xml:space="preserve">są lub staną się publicznie dostępne bez naruszenia Umowy; </w:t>
      </w:r>
    </w:p>
    <w:p w14:paraId="1BF6E045" w14:textId="4427352D" w:rsidR="009730F6" w:rsidRPr="009730F6" w:rsidRDefault="00000000" w:rsidP="009730F6">
      <w:pPr>
        <w:pStyle w:val="Akapitzlist"/>
        <w:numPr>
          <w:ilvl w:val="0"/>
          <w:numId w:val="6"/>
        </w:numPr>
        <w:spacing w:after="100" w:line="276" w:lineRule="auto"/>
        <w:jc w:val="both"/>
        <w:rPr>
          <w:lang w:val="pl-PL"/>
        </w:rPr>
      </w:pPr>
      <w:r w:rsidRPr="009730F6">
        <w:rPr>
          <w:lang w:val="pl-PL"/>
        </w:rPr>
        <w:t xml:space="preserve">były znane Stronie Otrzymującej przed ich przekazaniem, co można wykazać; </w:t>
      </w:r>
    </w:p>
    <w:p w14:paraId="37B356D7" w14:textId="1ACFCB3D" w:rsidR="009730F6" w:rsidRPr="009730F6" w:rsidRDefault="00000000" w:rsidP="009730F6">
      <w:pPr>
        <w:pStyle w:val="Akapitzlist"/>
        <w:numPr>
          <w:ilvl w:val="0"/>
          <w:numId w:val="6"/>
        </w:numPr>
        <w:spacing w:after="100" w:line="276" w:lineRule="auto"/>
        <w:jc w:val="both"/>
        <w:rPr>
          <w:lang w:val="pl-PL"/>
        </w:rPr>
      </w:pPr>
      <w:r w:rsidRPr="009730F6">
        <w:rPr>
          <w:lang w:val="pl-PL"/>
        </w:rPr>
        <w:t xml:space="preserve">zostały zgodnie z prawem uzyskane od osoby trzeciej uprawnionej do ich ujawnienia; </w:t>
      </w:r>
    </w:p>
    <w:p w14:paraId="04478D4B" w14:textId="2BD3E856" w:rsidR="00E024E9" w:rsidRPr="009730F6" w:rsidRDefault="00000000" w:rsidP="009730F6">
      <w:pPr>
        <w:pStyle w:val="Akapitzlist"/>
        <w:numPr>
          <w:ilvl w:val="0"/>
          <w:numId w:val="6"/>
        </w:numPr>
        <w:spacing w:after="100" w:line="276" w:lineRule="auto"/>
        <w:jc w:val="both"/>
        <w:rPr>
          <w:lang w:val="pl-PL"/>
        </w:rPr>
      </w:pPr>
      <w:r w:rsidRPr="009730F6">
        <w:rPr>
          <w:lang w:val="pl-PL"/>
        </w:rPr>
        <w:t>zostały opracowane samodzielnie przez Stronę Otrzymującą bez wykorzystania Informacji Poufnych.</w:t>
      </w:r>
    </w:p>
    <w:p w14:paraId="48041F02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2. Ujawnienie Informacji Poufnych wymagane przez bezwzględnie obowiązujące przepisy prawa lub prawomocne orzeczenie właściwego organu nie stanowi naruszenia Umowy, pod warunkiem uprzedniego — o ile jest to dopuszczalne — poinformowania drugiej Strony o takim obowiązku.</w:t>
      </w:r>
    </w:p>
    <w:p w14:paraId="6126625F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4. Obowiązki Stron</w:t>
      </w:r>
    </w:p>
    <w:p w14:paraId="1898BDC4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Każda ze Stron zobowiązuje się do zachowania w ścisłej tajemnicy wszystkich Informacji Poufnych drugiej Strony oraz do wykorzystywania ich wyłącznie w zakresie niezbędnym do realizacji Celu.</w:t>
      </w:r>
    </w:p>
    <w:p w14:paraId="36B4C738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2. Strona Otrzymująca zobowiązuje się nie ujawniać Informacji Poufnych osobom trzecim bez uprzedniej pisemnej zgody Strony Ujawniającej.</w:t>
      </w:r>
    </w:p>
    <w:p w14:paraId="504B7FF7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3. Strona Otrzymująca może udostępnić Informacje Poufne wyłącznie tym swoim pracownikom, współpracownikom, podwykonawcom i partnerom, którym jest to niezbędne do realizacji Celu, pod warunkiem zobowiązania ich do zachowania poufności na warunkach nie mniej rygorystycznych niż wynikające z Umowy. Za działania i zaniechania tych osób Strona Otrzymująca odpowiada jak za własne.</w:t>
      </w:r>
    </w:p>
    <w:p w14:paraId="7B7911A6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4. Strony zobowiązują się stosować odpowiednie środki techniczne i organizacyjne w celu ochrony Informacji Poufnych, co najmniej takie, jakie stosują wobec własnych informacji poufnych o podobnym znaczeniu.</w:t>
      </w:r>
    </w:p>
    <w:p w14:paraId="6EA71539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5. Okres obowiązywania</w:t>
      </w:r>
    </w:p>
    <w:p w14:paraId="1AE618BB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Umowa wchodzi w życie z dniem jej podpisania przez obie Strony i obowiązuje przez czas trwania rozmów oraz współpracy Stron.</w:t>
      </w:r>
    </w:p>
    <w:p w14:paraId="084F7C81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2. Obowiązek zachowania poufności trwa przez okres 5 (pięciu) lat od dnia zakończenia współpracy lub ustania rozmów, a w odniesieniu do informacji stanowiących tajemnicę przedsiębiorstwa — bezterminowo, dopóki zachowują one taki charakter.</w:t>
      </w:r>
    </w:p>
    <w:p w14:paraId="6C6807AC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6. Zwrot i zniszczenie informacji</w:t>
      </w:r>
    </w:p>
    <w:p w14:paraId="6DFB5522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Na pisemne żądanie Strony Ujawniającej, a najpóźniej w terminie 14 dni od zakończenia współpracy, Strona Otrzymująca zwróci lub trwale zniszczy wszelkie nośniki zawierające Informacje Poufne wraz z ich kopiami, z zastrzeżeniem kopii wymaganych przepisami prawa lub przechowywanych w ramach standardowych, automatycznych kopii bezpieczeństwa.</w:t>
      </w:r>
    </w:p>
    <w:p w14:paraId="5DFDD8BC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7. Brak przeniesienia praw</w:t>
      </w:r>
    </w:p>
    <w:p w14:paraId="6E7086FA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Przekazanie Informacji Poufnych nie oznacza udzielenia jakiejkolwiek licencji ani przeniesienia praw własności intelektualnej. Wszelkie prawa do Informacji Poufnych pozostają przy Stronie Ujawniającej.</w:t>
      </w:r>
    </w:p>
    <w:p w14:paraId="6DF70720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8. Odpowiedzialność</w:t>
      </w:r>
    </w:p>
    <w:p w14:paraId="38D93C74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lastRenderedPageBreak/>
        <w:t>1. W przypadku naruszenia obowiązku zachowania poufności Strona naruszająca zobowiązana jest do naprawienia szkody na zasadach ogólnych Kodeksu cywilnego.</w:t>
      </w:r>
    </w:p>
    <w:p w14:paraId="00F1024A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2. Za każde naruszenie obowiązku zachowania poufności Strona naruszająca zapłaci drugiej Stronie karę umowną w wysokości 100 000 zł (słownie: sto tysięcy złotych). Zapłata kary umownej nie wyłącza dochodzenia odszkodowania przewyższającego jej wysokość na zasadach ogólnych.</w:t>
      </w:r>
    </w:p>
    <w:p w14:paraId="38F183AF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9. Ochrona danych osobowych</w:t>
      </w:r>
    </w:p>
    <w:p w14:paraId="2455B043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W zakresie, w jakim w ramach współpracy dojdzie do przetwarzania danych osobowych, Strony zobowiązują się do przestrzegania przepisów rozporządzenia RODO oraz — w razie potrzeby — do zawarcia odrębnej umowy powierzenia przetwarzania danych osobowych.</w:t>
      </w:r>
    </w:p>
    <w:p w14:paraId="0657B78F" w14:textId="77777777" w:rsidR="00E024E9" w:rsidRPr="009730F6" w:rsidRDefault="00000000">
      <w:pPr>
        <w:pStyle w:val="Nagwek2"/>
        <w:rPr>
          <w:lang w:val="pl-PL"/>
        </w:rPr>
      </w:pPr>
      <w:r w:rsidRPr="009730F6">
        <w:rPr>
          <w:lang w:val="pl-PL"/>
        </w:rPr>
        <w:t>§ 10. Postanowienia końcowe</w:t>
      </w:r>
    </w:p>
    <w:p w14:paraId="6E29ABC8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1. Wszelkie zmiany Umowy wymagają formy pisemnej lub dokumentowej pod rygorem nieważności.</w:t>
      </w:r>
    </w:p>
    <w:p w14:paraId="4FB018C2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2. W sprawach nieuregulowanych Umową zastosowanie mają przepisy prawa polskiego, w szczególności Kodeksu cywilnego.</w:t>
      </w:r>
    </w:p>
    <w:p w14:paraId="31B2A31E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3. Ewentualne spory wynikłe z Umowy Strony poddają pod rozstrzygnięcie sądu powszechnego właściwego miejscowo dla miasta Poznania.</w:t>
      </w:r>
    </w:p>
    <w:p w14:paraId="2D288B2B" w14:textId="77777777" w:rsidR="00E024E9" w:rsidRPr="009730F6" w:rsidRDefault="00000000">
      <w:pPr>
        <w:spacing w:after="100" w:line="276" w:lineRule="auto"/>
        <w:ind w:left="360" w:hanging="360"/>
        <w:jc w:val="both"/>
        <w:rPr>
          <w:lang w:val="pl-PL"/>
        </w:rPr>
      </w:pPr>
      <w:r w:rsidRPr="009730F6">
        <w:rPr>
          <w:lang w:val="pl-PL"/>
        </w:rPr>
        <w:t>4. Umowę sporządzono w dwóch jednobrzmiących egzemplarzach, po jednym dla każdej ze Stron.</w:t>
      </w:r>
    </w:p>
    <w:p w14:paraId="076FBF3A" w14:textId="77777777" w:rsidR="00E024E9" w:rsidRPr="009730F6" w:rsidRDefault="00E024E9">
      <w:pPr>
        <w:spacing w:before="480"/>
        <w:rPr>
          <w:lang w:val="pl-PL"/>
        </w:rPr>
      </w:pPr>
    </w:p>
    <w:p w14:paraId="6507B5F0" w14:textId="77777777" w:rsidR="00E024E9" w:rsidRDefault="00000000">
      <w:pPr>
        <w:tabs>
          <w:tab w:val="right" w:pos="9026"/>
        </w:tabs>
        <w:spacing w:after="40"/>
      </w:pPr>
      <w:r>
        <w:t>……………………………………</w:t>
      </w:r>
      <w:r>
        <w:tab/>
        <w:t>……………………………………</w:t>
      </w:r>
    </w:p>
    <w:p w14:paraId="73DB95EC" w14:textId="77777777" w:rsidR="00E024E9" w:rsidRDefault="00000000">
      <w:pPr>
        <w:tabs>
          <w:tab w:val="right" w:pos="9026"/>
        </w:tabs>
      </w:pPr>
      <w:r>
        <w:rPr>
          <w:b/>
          <w:bCs/>
          <w:sz w:val="18"/>
          <w:szCs w:val="18"/>
        </w:rPr>
        <w:t>Forta IT — Dawid Nikiel Automation</w:t>
      </w:r>
      <w:r>
        <w:rPr>
          <w:b/>
          <w:bCs/>
          <w:sz w:val="18"/>
          <w:szCs w:val="18"/>
        </w:rPr>
        <w:tab/>
      </w:r>
      <w:proofErr w:type="spellStart"/>
      <w:r>
        <w:rPr>
          <w:b/>
          <w:bCs/>
          <w:sz w:val="18"/>
          <w:szCs w:val="18"/>
        </w:rPr>
        <w:t>Kontrahent</w:t>
      </w:r>
      <w:proofErr w:type="spellEnd"/>
    </w:p>
    <w:p w14:paraId="4A13617D" w14:textId="77777777" w:rsidR="00E024E9" w:rsidRPr="009730F6" w:rsidRDefault="00000000">
      <w:pPr>
        <w:tabs>
          <w:tab w:val="right" w:pos="9026"/>
        </w:tabs>
        <w:rPr>
          <w:lang w:val="pl-PL"/>
        </w:rPr>
      </w:pPr>
      <w:r w:rsidRPr="009730F6">
        <w:rPr>
          <w:color w:val="777777"/>
          <w:sz w:val="16"/>
          <w:szCs w:val="16"/>
          <w:lang w:val="pl-PL"/>
        </w:rPr>
        <w:t>(data i podpis)</w:t>
      </w:r>
      <w:r w:rsidRPr="009730F6">
        <w:rPr>
          <w:color w:val="777777"/>
          <w:sz w:val="16"/>
          <w:szCs w:val="16"/>
          <w:lang w:val="pl-PL"/>
        </w:rPr>
        <w:tab/>
        <w:t>(data i podpis)</w:t>
      </w:r>
    </w:p>
    <w:sectPr w:rsidR="00E024E9" w:rsidRPr="009730F6">
      <w:footerReference w:type="default" r:id="rId7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18AB" w14:textId="77777777" w:rsidR="00AB53E7" w:rsidRDefault="00AB53E7">
      <w:r>
        <w:separator/>
      </w:r>
    </w:p>
  </w:endnote>
  <w:endnote w:type="continuationSeparator" w:id="0">
    <w:p w14:paraId="4BFE37AB" w14:textId="77777777" w:rsidR="00AB53E7" w:rsidRDefault="00AB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3934" w14:textId="77777777" w:rsidR="009730F6" w:rsidRDefault="00000000">
    <w:pPr>
      <w:pBdr>
        <w:top w:val="single" w:sz="4" w:space="6" w:color="CCCCCC"/>
      </w:pBdr>
      <w:spacing w:before="60"/>
      <w:rPr>
        <w:color w:val="777777"/>
        <w:sz w:val="15"/>
        <w:szCs w:val="15"/>
      </w:rPr>
    </w:pPr>
    <w:proofErr w:type="spellStart"/>
    <w:r>
      <w:rPr>
        <w:color w:val="777777"/>
        <w:sz w:val="15"/>
        <w:szCs w:val="15"/>
      </w:rPr>
      <w:t>Wzór</w:t>
    </w:r>
    <w:proofErr w:type="spellEnd"/>
    <w:r>
      <w:rPr>
        <w:color w:val="777777"/>
        <w:sz w:val="15"/>
        <w:szCs w:val="15"/>
      </w:rPr>
      <w:t xml:space="preserve"> </w:t>
    </w:r>
    <w:proofErr w:type="spellStart"/>
    <w:r>
      <w:rPr>
        <w:color w:val="777777"/>
        <w:sz w:val="15"/>
        <w:szCs w:val="15"/>
      </w:rPr>
      <w:t>dokumentu</w:t>
    </w:r>
    <w:proofErr w:type="spellEnd"/>
    <w:r>
      <w:rPr>
        <w:color w:val="777777"/>
        <w:sz w:val="15"/>
        <w:szCs w:val="15"/>
      </w:rPr>
      <w:t xml:space="preserve"> — Forta IT · Dawid Nikiel Automation · forta-it.pl</w:t>
    </w:r>
  </w:p>
  <w:p w14:paraId="2025B4C0" w14:textId="7488DA88" w:rsidR="00E024E9" w:rsidRDefault="008A2F61" w:rsidP="009730F6">
    <w:pPr>
      <w:pBdr>
        <w:top w:val="single" w:sz="4" w:space="6" w:color="CCCCCC"/>
      </w:pBdr>
      <w:spacing w:before="60"/>
    </w:pPr>
    <w:r>
      <w:rPr>
        <w:color w:val="777777"/>
        <w:sz w:val="15"/>
        <w:szCs w:val="15"/>
      </w:rPr>
      <w:t xml:space="preserve">// </w:t>
    </w:r>
    <w:r w:rsidR="009730F6">
      <w:rPr>
        <w:color w:val="777777"/>
        <w:sz w:val="15"/>
        <w:szCs w:val="15"/>
      </w:rPr>
      <w:t>PUBLIC</w:t>
    </w:r>
    <w:r>
      <w:rPr>
        <w:color w:val="777777"/>
        <w:sz w:val="15"/>
        <w:szCs w:val="15"/>
      </w:rPr>
      <w:t xml:space="preserve"> //</w:t>
    </w:r>
  </w:p>
  <w:p w14:paraId="6193E5C4" w14:textId="77777777" w:rsidR="00E024E9" w:rsidRDefault="00000000">
    <w:pPr>
      <w:jc w:val="right"/>
    </w:pPr>
    <w:r>
      <w:rPr>
        <w:color w:val="777777"/>
        <w:sz w:val="15"/>
        <w:szCs w:val="15"/>
      </w:rPr>
      <w:t xml:space="preserve">Strona </w:t>
    </w:r>
    <w:r>
      <w:rPr>
        <w:color w:val="777777"/>
        <w:sz w:val="15"/>
        <w:szCs w:val="15"/>
      </w:rPr>
      <w:fldChar w:fldCharType="begin"/>
    </w:r>
    <w:r>
      <w:rPr>
        <w:color w:val="777777"/>
        <w:sz w:val="15"/>
        <w:szCs w:val="15"/>
      </w:rPr>
      <w:instrText>PAGE</w:instrText>
    </w:r>
    <w:r>
      <w:rPr>
        <w:color w:val="777777"/>
        <w:sz w:val="15"/>
        <w:szCs w:val="15"/>
      </w:rPr>
      <w:fldChar w:fldCharType="separate"/>
    </w:r>
    <w:r w:rsidR="009730F6">
      <w:rPr>
        <w:noProof/>
        <w:color w:val="777777"/>
        <w:sz w:val="15"/>
        <w:szCs w:val="15"/>
      </w:rPr>
      <w:t>1</w:t>
    </w:r>
    <w:r>
      <w:rPr>
        <w:color w:val="777777"/>
        <w:sz w:val="15"/>
        <w:szCs w:val="15"/>
      </w:rPr>
      <w:fldChar w:fldCharType="end"/>
    </w:r>
    <w:r>
      <w:rPr>
        <w:color w:val="777777"/>
        <w:sz w:val="15"/>
        <w:szCs w:val="15"/>
      </w:rPr>
      <w:t xml:space="preserve"> z </w:t>
    </w:r>
    <w:r>
      <w:rPr>
        <w:color w:val="777777"/>
        <w:sz w:val="15"/>
        <w:szCs w:val="15"/>
      </w:rPr>
      <w:fldChar w:fldCharType="begin"/>
    </w:r>
    <w:r>
      <w:rPr>
        <w:color w:val="777777"/>
        <w:sz w:val="15"/>
        <w:szCs w:val="15"/>
      </w:rPr>
      <w:instrText>NUMPAGES</w:instrText>
    </w:r>
    <w:r>
      <w:rPr>
        <w:color w:val="777777"/>
        <w:sz w:val="15"/>
        <w:szCs w:val="15"/>
      </w:rPr>
      <w:fldChar w:fldCharType="separate"/>
    </w:r>
    <w:r w:rsidR="009730F6">
      <w:rPr>
        <w:noProof/>
        <w:color w:val="777777"/>
        <w:sz w:val="15"/>
        <w:szCs w:val="15"/>
      </w:rPr>
      <w:t>2</w:t>
    </w:r>
    <w:r>
      <w:rPr>
        <w:color w:val="777777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83FC" w14:textId="77777777" w:rsidR="00AB53E7" w:rsidRDefault="00AB53E7">
      <w:r>
        <w:separator/>
      </w:r>
    </w:p>
  </w:footnote>
  <w:footnote w:type="continuationSeparator" w:id="0">
    <w:p w14:paraId="63E5CACD" w14:textId="77777777" w:rsidR="00AB53E7" w:rsidRDefault="00AB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EC2"/>
    <w:multiLevelType w:val="hybridMultilevel"/>
    <w:tmpl w:val="5AFC0B2A"/>
    <w:lvl w:ilvl="0" w:tplc="692C30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1136"/>
    <w:multiLevelType w:val="hybridMultilevel"/>
    <w:tmpl w:val="D4BC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765F0"/>
    <w:multiLevelType w:val="hybridMultilevel"/>
    <w:tmpl w:val="CE066D0A"/>
    <w:lvl w:ilvl="0" w:tplc="0650AA3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5399B"/>
    <w:multiLevelType w:val="hybridMultilevel"/>
    <w:tmpl w:val="520AD380"/>
    <w:lvl w:ilvl="0" w:tplc="5AD66026">
      <w:start w:val="1"/>
      <w:numFmt w:val="bullet"/>
      <w:lvlText w:val="●"/>
      <w:lvlJc w:val="left"/>
      <w:pPr>
        <w:ind w:left="720" w:hanging="360"/>
      </w:pPr>
    </w:lvl>
    <w:lvl w:ilvl="1" w:tplc="15EC4DB4">
      <w:start w:val="1"/>
      <w:numFmt w:val="bullet"/>
      <w:lvlText w:val="○"/>
      <w:lvlJc w:val="left"/>
      <w:pPr>
        <w:ind w:left="1440" w:hanging="360"/>
      </w:pPr>
    </w:lvl>
    <w:lvl w:ilvl="2" w:tplc="631ED82E">
      <w:start w:val="1"/>
      <w:numFmt w:val="bullet"/>
      <w:lvlText w:val="■"/>
      <w:lvlJc w:val="left"/>
      <w:pPr>
        <w:ind w:left="2160" w:hanging="360"/>
      </w:pPr>
    </w:lvl>
    <w:lvl w:ilvl="3" w:tplc="DF88FB0C">
      <w:start w:val="1"/>
      <w:numFmt w:val="bullet"/>
      <w:lvlText w:val="●"/>
      <w:lvlJc w:val="left"/>
      <w:pPr>
        <w:ind w:left="2880" w:hanging="360"/>
      </w:pPr>
    </w:lvl>
    <w:lvl w:ilvl="4" w:tplc="8B04994E">
      <w:start w:val="1"/>
      <w:numFmt w:val="bullet"/>
      <w:lvlText w:val="○"/>
      <w:lvlJc w:val="left"/>
      <w:pPr>
        <w:ind w:left="3600" w:hanging="360"/>
      </w:pPr>
    </w:lvl>
    <w:lvl w:ilvl="5" w:tplc="BC6E63E8">
      <w:start w:val="1"/>
      <w:numFmt w:val="bullet"/>
      <w:lvlText w:val="■"/>
      <w:lvlJc w:val="left"/>
      <w:pPr>
        <w:ind w:left="4320" w:hanging="360"/>
      </w:pPr>
    </w:lvl>
    <w:lvl w:ilvl="6" w:tplc="35CC1C4E">
      <w:start w:val="1"/>
      <w:numFmt w:val="bullet"/>
      <w:lvlText w:val="●"/>
      <w:lvlJc w:val="left"/>
      <w:pPr>
        <w:ind w:left="5040" w:hanging="360"/>
      </w:pPr>
    </w:lvl>
    <w:lvl w:ilvl="7" w:tplc="3A203174">
      <w:start w:val="1"/>
      <w:numFmt w:val="bullet"/>
      <w:lvlText w:val="●"/>
      <w:lvlJc w:val="left"/>
      <w:pPr>
        <w:ind w:left="5760" w:hanging="360"/>
      </w:pPr>
    </w:lvl>
    <w:lvl w:ilvl="8" w:tplc="8C96DE5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E6140DA"/>
    <w:multiLevelType w:val="hybridMultilevel"/>
    <w:tmpl w:val="70DE7D8C"/>
    <w:lvl w:ilvl="0" w:tplc="0650AA32">
      <w:start w:val="1"/>
      <w:numFmt w:val="bullet"/>
      <w:lvlText w:val="–"/>
      <w:lvlJc w:val="left"/>
      <w:pPr>
        <w:ind w:left="720" w:hanging="360"/>
      </w:pPr>
    </w:lvl>
    <w:lvl w:ilvl="1" w:tplc="CDC8277A">
      <w:numFmt w:val="decimal"/>
      <w:lvlText w:val=""/>
      <w:lvlJc w:val="left"/>
    </w:lvl>
    <w:lvl w:ilvl="2" w:tplc="F49A55A0">
      <w:numFmt w:val="decimal"/>
      <w:lvlText w:val=""/>
      <w:lvlJc w:val="left"/>
    </w:lvl>
    <w:lvl w:ilvl="3" w:tplc="437687B2">
      <w:numFmt w:val="decimal"/>
      <w:lvlText w:val=""/>
      <w:lvlJc w:val="left"/>
    </w:lvl>
    <w:lvl w:ilvl="4" w:tplc="3B34A3A2">
      <w:numFmt w:val="decimal"/>
      <w:lvlText w:val=""/>
      <w:lvlJc w:val="left"/>
    </w:lvl>
    <w:lvl w:ilvl="5" w:tplc="1E3EB4B2">
      <w:numFmt w:val="decimal"/>
      <w:lvlText w:val=""/>
      <w:lvlJc w:val="left"/>
    </w:lvl>
    <w:lvl w:ilvl="6" w:tplc="B5400B7E">
      <w:numFmt w:val="decimal"/>
      <w:lvlText w:val=""/>
      <w:lvlJc w:val="left"/>
    </w:lvl>
    <w:lvl w:ilvl="7" w:tplc="2BBE6340">
      <w:numFmt w:val="decimal"/>
      <w:lvlText w:val=""/>
      <w:lvlJc w:val="left"/>
    </w:lvl>
    <w:lvl w:ilvl="8" w:tplc="2490F038">
      <w:numFmt w:val="decimal"/>
      <w:lvlText w:val=""/>
      <w:lvlJc w:val="left"/>
    </w:lvl>
  </w:abstractNum>
  <w:num w:numId="1" w16cid:durableId="746465376">
    <w:abstractNumId w:val="3"/>
    <w:lvlOverride w:ilvl="0">
      <w:startOverride w:val="1"/>
    </w:lvlOverride>
  </w:num>
  <w:num w:numId="2" w16cid:durableId="328871188">
    <w:abstractNumId w:val="4"/>
    <w:lvlOverride w:ilvl="0">
      <w:startOverride w:val="1"/>
    </w:lvlOverride>
  </w:num>
  <w:num w:numId="3" w16cid:durableId="195508714">
    <w:abstractNumId w:val="1"/>
  </w:num>
  <w:num w:numId="4" w16cid:durableId="2002734416">
    <w:abstractNumId w:val="0"/>
  </w:num>
  <w:num w:numId="5" w16cid:durableId="436800396">
    <w:abstractNumId w:val="4"/>
  </w:num>
  <w:num w:numId="6" w16cid:durableId="205569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E9"/>
    <w:rsid w:val="008A2F61"/>
    <w:rsid w:val="00911266"/>
    <w:rsid w:val="009730F6"/>
    <w:rsid w:val="00AB53E7"/>
    <w:rsid w:val="00E0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E401E"/>
  <w15:docId w15:val="{2899D557-B0AE-4512-A89F-F09E102E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120" w:after="240"/>
      <w:jc w:val="center"/>
      <w:outlineLvl w:val="0"/>
    </w:pPr>
    <w:rPr>
      <w:b/>
      <w:bCs/>
      <w:sz w:val="30"/>
      <w:szCs w:val="30"/>
    </w:rPr>
  </w:style>
  <w:style w:type="paragraph" w:styleId="Nagwek2">
    <w:name w:val="heading 2"/>
    <w:uiPriority w:val="9"/>
    <w:unhideWhenUsed/>
    <w:qFormat/>
    <w:pPr>
      <w:spacing w:before="240" w:after="100"/>
      <w:outlineLvl w:val="1"/>
    </w:pPr>
    <w:rPr>
      <w:b/>
      <w:bCs/>
      <w:sz w:val="23"/>
      <w:szCs w:val="23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30F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0F6"/>
  </w:style>
  <w:style w:type="paragraph" w:styleId="Stopka">
    <w:name w:val="footer"/>
    <w:basedOn w:val="Normalny"/>
    <w:link w:val="StopkaZnak"/>
    <w:uiPriority w:val="99"/>
    <w:unhideWhenUsed/>
    <w:rsid w:val="009730F6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zachowaniu poufności (NDA) — wzajemna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zachowaniu poufności (NDA) — wzajemna</dc:title>
  <dc:creator>Forta IT — Dawid Nikiel Automation</dc:creator>
  <cp:lastModifiedBy>Dawid Nikiel</cp:lastModifiedBy>
  <cp:revision>2</cp:revision>
  <dcterms:created xsi:type="dcterms:W3CDTF">2026-07-05T10:44:00Z</dcterms:created>
  <dcterms:modified xsi:type="dcterms:W3CDTF">2026-07-05T12:45:00Z</dcterms:modified>
</cp:coreProperties>
</file>